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Информационно - аналитические материалы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о состоянии антитеррористической защищенности объектов топливно-энергетического комплекс</w:t>
      </w:r>
      <w:bookmarkStart w:id="0" w:name="_GoBack"/>
      <w:bookmarkEnd w:id="0"/>
      <w:r>
        <w:rPr>
          <w:rFonts w:eastAsia="Times New Roman" w:cs="Times New Roman"/>
          <w:b/>
          <w:bCs/>
          <w:sz w:val="28"/>
          <w:szCs w:val="28"/>
        </w:rPr>
        <w:t xml:space="preserve">а, расположенных на территории Республики Марий Эл за </w:t>
      </w:r>
      <w:r>
        <w:rPr>
          <w:rFonts w:eastAsia="Calibri" w:cs="Times New Roman" w:eastAsiaTheme="minorHAnsi"/>
          <w:b/>
          <w:bCs/>
          <w:color w:val="auto"/>
          <w:sz w:val="28"/>
          <w:szCs w:val="28"/>
          <w:lang w:val="ru-RU" w:eastAsia="en-US" w:bidi="ar-SA"/>
        </w:rPr>
        <w:t>1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eastAsia="Calibri" w:cs="Times New Roman" w:eastAsiaTheme="minorHAnsi"/>
          <w:b/>
          <w:bCs/>
          <w:color w:val="auto"/>
          <w:sz w:val="28"/>
          <w:szCs w:val="28"/>
          <w:lang w:val="ru-RU" w:eastAsia="en-US" w:bidi="ar-SA"/>
        </w:rPr>
        <w:t>полугодие</w:t>
      </w:r>
      <w:r>
        <w:rPr>
          <w:rFonts w:eastAsia="Times New Roman" w:cs="Times New Roman"/>
          <w:b/>
          <w:bCs/>
          <w:sz w:val="28"/>
          <w:szCs w:val="28"/>
        </w:rPr>
        <w:t xml:space="preserve"> 202</w:t>
      </w:r>
      <w:r>
        <w:rPr>
          <w:rFonts w:eastAsia="Calibri" w:cs="Times New Roman" w:eastAsiaTheme="minorHAnsi"/>
          <w:b/>
          <w:bCs/>
          <w:color w:val="auto"/>
          <w:sz w:val="28"/>
          <w:szCs w:val="28"/>
          <w:lang w:val="ru-RU" w:eastAsia="en-US" w:bidi="ar-SA"/>
        </w:rPr>
        <w:t>6</w:t>
      </w:r>
      <w:r>
        <w:rPr>
          <w:rFonts w:eastAsia="Times New Roman" w:cs="Times New Roman"/>
          <w:b/>
          <w:bCs/>
          <w:sz w:val="28"/>
          <w:szCs w:val="28"/>
        </w:rPr>
        <w:t xml:space="preserve"> года.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Статистическая часть</w:t>
      </w:r>
    </w:p>
    <w:tbl>
      <w:tblPr>
        <w:tblStyle w:val="872"/>
        <w:tblW w:w="9365" w:type="dxa"/>
        <w:jc w:val="left"/>
        <w:tblInd w:w="-1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8"/>
        <w:gridCol w:w="686"/>
        <w:gridCol w:w="5230"/>
        <w:gridCol w:w="2770"/>
      </w:tblGrid>
      <w:tr>
        <w:trPr>
          <w:trHeight w:val="300" w:hRule="atLeast"/>
        </w:trPr>
        <w:tc>
          <w:tcPr>
            <w:tcW w:w="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b/>
                <w:color w:val="auto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eastAsiaTheme="minorHAnsi"/>
                <w:b/>
                <w:color w:val="auto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b/>
                <w:color w:val="auto"/>
                <w:sz w:val="24"/>
                <w:szCs w:val="24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b/>
                <w:color w:val="auto"/>
                <w:sz w:val="24"/>
                <w:szCs w:val="24"/>
                <w:lang w:val="en-US" w:eastAsia="en-US" w:bidi="ar-SA"/>
              </w:rPr>
              <w:t>1 полугодие 2026г.</w:t>
            </w:r>
          </w:p>
        </w:tc>
      </w:tr>
      <w:tr>
        <w:trPr>
          <w:trHeight w:val="567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591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Общее количество проверок объектов ТЭК в отчетный период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8</w:t>
            </w:r>
          </w:p>
        </w:tc>
      </w:tr>
      <w:tr>
        <w:trPr>
          <w:trHeight w:val="406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extDirection w:val="btLr"/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113" w:right="113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из них</w:t>
            </w:r>
          </w:p>
        </w:tc>
        <w:tc>
          <w:tcPr>
            <w:tcW w:w="52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количество проведенных плановых проверок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/>
                <w:color w:val="auto"/>
                <w:sz w:val="24"/>
                <w:szCs w:val="24"/>
                <w:lang w:val="ru-RU" w:eastAsia="en-US" w:bidi="ar-SA"/>
                <w14:ligatures w14:val="none"/>
              </w:rPr>
              <w:t>2</w:t>
            </w:r>
          </w:p>
        </w:tc>
      </w:tr>
      <w:tr>
        <w:trPr>
          <w:trHeight w:val="451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1.2.</w:t>
            </w:r>
          </w:p>
        </w:tc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firstLine="851"/>
              <w:jc w:val="center"/>
              <w:rPr>
                <w:rFonts w:ascii="PT Astra Serif" w:hAnsi="PT Astra Serif"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 w:eastAsiaTheme="minorHAnsi" w:ascii="PT Astra Serif" w:hAnsi="PT Astra Serif"/>
                <w:color w:val="auto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количество проведенных внеплановых проверок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6</w:t>
            </w:r>
          </w:p>
        </w:tc>
      </w:tr>
      <w:tr>
        <w:trPr>
          <w:trHeight w:val="567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91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Общее количество выявленных нарушений обязательных требований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>
          <w:trHeight w:val="833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591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Общее количество выданных предписаний об устранении нарушений в обеспечении безопасности и антитеррористической защищенности объектов ТЭК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>
          <w:trHeight w:val="833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591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Общее количество составленных протоколов об административных правонарушениях, предусмотренных статьей 20.30 КоАП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>
          <w:trHeight w:val="833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591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Общее количество административных наказаний, назначенных судебными органами по итогам плановых проверок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>
          <w:trHeight w:val="833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591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Общее количество составленных в отношении должностных (юридических) лиц протоколов об административных правонарушениях, предусмотренных статьей 19.5 КоАП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>
          <w:trHeight w:val="833" w:hRule="atLeast"/>
        </w:trPr>
        <w:tc>
          <w:tcPr>
            <w:tcW w:w="67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591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Общее количество административных наказаний, назначенных по итогам внеплановых проверок</w:t>
            </w:r>
          </w:p>
        </w:tc>
        <w:tc>
          <w:tcPr>
            <w:tcW w:w="27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eastAsiaTheme="minorHAnsi"/>
                <w:color w:val="auto"/>
                <w:sz w:val="24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ListParagraph"/>
        <w:spacing w:lineRule="auto" w:line="240" w:before="0" w:after="0"/>
        <w:ind w:left="1797" w:hanging="72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1797" w:hanging="720"/>
        <w:contextualSpacing/>
        <w:rPr>
          <w:rFonts w:ascii="Times New Roman" w:hAnsi="Times New Roman" w:cs="Times New Roman"/>
        </w:rPr>
      </w:pPr>
      <w:r>
        <w:rPr>
          <w:rFonts w:eastAsia="Times New Roman" w:cs="Times New Roman"/>
          <w:b/>
          <w:bCs/>
          <w:sz w:val="28"/>
          <w:szCs w:val="28"/>
        </w:rPr>
        <w:t>Аналитическая часть</w:t>
      </w:r>
    </w:p>
    <w:p>
      <w:pPr>
        <w:pStyle w:val="Normal"/>
        <w:spacing w:lineRule="atLeast" w:line="288" w:before="0" w:after="0"/>
        <w:ind w:left="0" w:right="0" w:firstLine="850"/>
        <w:jc w:val="both"/>
        <w:rPr>
          <w:rFonts w:ascii="Times New Roman" w:hAnsi="Times New Roman" w:eastAsia="Calibri" w:cs="Times New Roman" w:eastAsiaTheme="minorHAnsi"/>
          <w:color w:val="auto"/>
          <w:sz w:val="28"/>
          <w:szCs w:val="28"/>
          <w:lang w:val="ru-RU" w:eastAsia="en-US" w:bidi="ar-SA"/>
          <w14:ligatures w14:val="none"/>
        </w:rPr>
      </w:pPr>
      <w:r>
        <w:rPr>
          <w:rFonts w:eastAsia="Times New Roman" w:cs="Times New Roman"/>
          <w:sz w:val="28"/>
          <w:szCs w:val="28"/>
        </w:rPr>
        <w:t>Порядок организации и проведения проверок объектов топливно-энергетического комплекса</w:t>
      </w:r>
      <w:r>
        <w:rPr>
          <w:rStyle w:val="Style6"/>
          <w:rFonts w:eastAsia="Times New Roman" w:cs="Times New Roman"/>
          <w:sz w:val="28"/>
          <w:szCs w:val="28"/>
        </w:rPr>
        <w:footnoteReference w:id="2"/>
      </w:r>
      <w:r>
        <w:rPr>
          <w:rFonts w:eastAsia="Times New Roman" w:cs="Times New Roman"/>
          <w:sz w:val="28"/>
          <w:szCs w:val="28"/>
        </w:rPr>
        <w:t xml:space="preserve"> регламентируется Федеральным законом от 21 ию</w:t>
      </w:r>
      <w:r>
        <w:rPr>
          <w:rFonts w:eastAsia="Calibri" w:cs="Times New Roman" w:eastAsiaTheme="minorHAnsi"/>
          <w:color w:val="auto"/>
          <w:sz w:val="28"/>
          <w:szCs w:val="28"/>
          <w:lang w:val="ru-RU" w:eastAsia="en-US" w:bidi="ar-SA"/>
        </w:rPr>
        <w:t>ля 2011 года № 256-ФЗ «О безопасности объектов ТЭК» и раскрывается положениями постановления Правительства РФ от 12.05.2023 № 740</w:t>
        <w:br/>
        <w:t>«Об утверждении Правил осуществления федерального государственного контроля (надзора) за обеспечением безопасности объектов топливно-энергетического комплекса, которым присвоена категория опасности, и о признании утратившими силу некоторых актов Правительства Российской Федерации»</w:t>
      </w:r>
      <w:r>
        <w:rPr>
          <w:rFonts w:eastAsia="Times New Roman" w:cs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902"/>
        <w:jc w:val="both"/>
        <w:rPr>
          <w:rFonts w:ascii="Times New Roman" w:hAnsi="Times New Roman" w:cs="Times New Roman"/>
        </w:rPr>
      </w:pPr>
      <w:r>
        <w:rPr>
          <w:rStyle w:val="Style12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 xml:space="preserve">Управлением Росгвардии по Республике Марий Эл осуществляется федеральный государственный контроль (надзор) за обеспечением безопасности объектов топливно-энергетического комплекса в отношении 36 категорированных объектов ТЭК, расположенных на территории Республики Марий Эл. Все 36 объектов включены в соответствующий Реестр, формируемый Минэнерго России. По степени опасности 35 объектов отнесены к низкой категории и 1 объекта - к средней. </w:t>
      </w:r>
    </w:p>
    <w:p>
      <w:pPr>
        <w:pStyle w:val="Normal"/>
        <w:spacing w:lineRule="auto" w:line="240" w:before="0" w:after="0"/>
        <w:ind w:firstLine="902"/>
        <w:jc w:val="both"/>
        <w:rPr>
          <w:rFonts w:ascii="Times New Roman" w:hAnsi="Times New Roman" w:cs="Times New Roman"/>
        </w:rPr>
      </w:pPr>
      <w:r>
        <w:rPr>
          <w:rStyle w:val="Style12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 xml:space="preserve">В соответствии с Планом проведения Управлением Росгвардии по Республике Марий Эл плановых проверок объектов топливно-энергетического комплекса на 2026 год запланировано проведение проверок </w:t>
      </w:r>
      <w:r>
        <w:rPr>
          <w:rStyle w:val="Style12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kern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>3</w:t>
      </w:r>
      <w:r>
        <w:rPr>
          <w:rStyle w:val="Style12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 xml:space="preserve"> объектов Т</w:t>
      </w:r>
      <w:r>
        <w:rPr>
          <w:rStyle w:val="Style12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>ЭК.</w:t>
      </w:r>
    </w:p>
    <w:p>
      <w:pPr>
        <w:pStyle w:val="Normal"/>
        <w:spacing w:lineRule="auto" w:line="240" w:before="0" w:after="0"/>
        <w:ind w:firstLine="902"/>
        <w:jc w:val="both"/>
        <w:rPr>
          <w:rFonts w:ascii="Times New Roman" w:hAnsi="Times New Roman" w:cs="Times New Roman"/>
        </w:rPr>
      </w:pPr>
      <w:r>
        <w:rPr>
          <w:rStyle w:val="Style12"/>
          <w:rFonts w:eastAsia="Calibri" w:cs="Times New Roman" w:eastAsiaTheme="minorHAns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auto"/>
          <w:spacing w:val="0"/>
          <w:position w:val="0"/>
          <w:sz w:val="28"/>
          <w:sz w:val="28"/>
          <w:szCs w:val="28"/>
          <w:u w:val="none"/>
          <w:vertAlign w:val="baseline"/>
          <w:lang w:val="ru-RU" w:eastAsia="en-US" w:bidi="ar-SA"/>
        </w:rPr>
        <w:t xml:space="preserve">В рамках контроля исполнений выданных ранее предписаний Управлением Росгвардии по Республике Марий Эл проведены </w:t>
      </w:r>
      <w:r>
        <w:rPr>
          <w:rStyle w:val="Style12"/>
          <w:rFonts w:eastAsia="Calibri" w:cs="Times New Roman" w:eastAsiaTheme="minorHAns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>за 6</w:t>
      </w:r>
      <w:r>
        <w:rPr>
          <w:rStyle w:val="Style12"/>
          <w:rFonts w:eastAsia="Calibri" w:cs="Times New Roman" w:eastAsiaTheme="minorHAns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en-US" w:bidi="ar-SA"/>
        </w:rPr>
        <w:t xml:space="preserve"> месяцев 2026 года Управлением Росгвардии по Республике Марий Эл проведены 6  внеплановые проверки </w:t>
      </w:r>
      <w:r>
        <w:rPr>
          <w:rStyle w:val="Style12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>объектов ТЭК. В ходе проверки установлено, что предписания об устранении выявленных нарушений одним объектом ТЭК не выполнено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 xml:space="preserve">. </w:t>
      </w:r>
      <w:r>
        <w:rPr>
          <w:rStyle w:val="Style12"/>
          <w:rFonts w:eastAsia="Calibri" w:cs="Times New Roman" w:eastAsiaTheme="minorHAns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ar-SA"/>
        </w:rPr>
        <w:t xml:space="preserve">В отношении юридического лица составлен протокол об административном правонарушении по ч. 36 ст. 19.5 КоАП РФ. </w:t>
      </w:r>
    </w:p>
    <w:p>
      <w:pPr>
        <w:pStyle w:val="Normal"/>
        <w:spacing w:lineRule="auto" w:line="240" w:before="0" w:after="0"/>
        <w:ind w:firstLine="902"/>
        <w:jc w:val="both"/>
        <w:rPr>
          <w:rStyle w:val="Style10"/>
          <w:rFonts w:eastAsia="Times New Roman" w:cs="Times New Roma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</w:pPr>
      <w:r>
        <w:rPr>
          <w:rStyle w:val="Style12"/>
          <w:rFonts w:eastAsia="Calibri" w:cs="Times New Roman" w:eastAsiaTheme="minorHAns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en-US" w:bidi="ar-SA"/>
        </w:rPr>
        <w:t>За 6 месяцев 2026 года сотрудниками ОГК принято участие в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 xml:space="preserve"> мероприятии по актуализации паспорта безопасности объекта ТЭК. В рамках профилактики нарушений обязательных требований отделением государственного контроля в отчетном периоде проведен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>ы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 xml:space="preserve"> 3 рабочи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>е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 xml:space="preserve"> встреч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>и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 xml:space="preserve"> с представителями контролируемых организаций. В ходе рабочих встреч обсужд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>ены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position w:val="0"/>
          <w:sz w:val="28"/>
          <w:sz w:val="28"/>
          <w:szCs w:val="28"/>
          <w:u w:val="none"/>
          <w:vertAlign w:val="baseline"/>
          <w:lang w:val="ru-RU" w:eastAsia="zh-CN" w:bidi="hi-IN"/>
        </w:rPr>
        <w:t xml:space="preserve"> вопросы организации и проведения мероприятий по актуализации паспорта безопасности объектов ТЭК, антитеррористическая защищенность объектов ТЭК, а также вопросы осуществления контрольных мероприятий, проводимых Росгвардией на объектах ТЭК. </w:t>
      </w:r>
    </w:p>
    <w:p>
      <w:pPr>
        <w:pStyle w:val="Normal"/>
        <w:spacing w:lineRule="auto" w:line="240" w:before="0" w:after="0"/>
        <w:ind w:firstLine="902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0"/>
          <w:sz w:val="28"/>
          <w:szCs w:val="28"/>
          <w:u w:val="none"/>
        </w:rPr>
      </w:pPr>
      <w:r>
        <w:rPr>
          <w:rFonts w:cs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sz w:val="28"/>
          <w:szCs w:val="28"/>
          <w:u w:val="none"/>
        </w:rPr>
      </w:r>
    </w:p>
    <w:p>
      <w:pPr>
        <w:pStyle w:val="Normal"/>
        <w:widowControl/>
        <w:numPr>
          <w:ilvl w:val="0"/>
          <w:numId w:val="0"/>
        </w:numPr>
        <w:shd w:val="clear" w:color="auto" w:fill="FFFFFF"/>
        <w:spacing w:lineRule="auto" w:line="240" w:before="0" w:after="0"/>
        <w:ind w:left="0" w:right="0" w:firstLine="567"/>
        <w:jc w:val="both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pacing w:val="0"/>
          <w:sz w:val="28"/>
          <w:szCs w:val="28"/>
          <w:u w:val="none"/>
        </w:rPr>
      </w:pPr>
      <w:r>
        <w:rPr>
          <w:rFonts w:cs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sz w:val="28"/>
          <w:szCs w:val="28"/>
          <w:u w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/>
          <w:b/>
          <w:sz w:val="28"/>
          <w:szCs w:val="28"/>
        </w:rPr>
        <w:t>ОГК Управления Росгвардии по Республике Марий Эл</w:t>
      </w:r>
    </w:p>
    <w:sectPr>
      <w:footnotePr>
        <w:numFmt w:val="decimal"/>
      </w:footnote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swiss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swiss"/>
    <w:pitch w:val="default"/>
  </w:font>
  <w:font w:name="Courier New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5"/>
        <w:rPr>
          <w:rFonts w:ascii="PT Astra Serif" w:hAnsi="PT Astra Serif"/>
        </w:rPr>
      </w:pPr>
      <w:r>
        <w:rPr>
          <w:rStyle w:val="Style10"/>
        </w:rPr>
        <w:footnoteRef/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Далее – ТЭК.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Arial" w:cstheme="minorBidi" w:eastAsia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Calibri" w:cs="Arial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1">
    <w:name w:val="Heading 1"/>
    <w:basedOn w:val="Normal"/>
    <w:link w:val="674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link w:val="676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link w:val="678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link w:val="680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link w:val="682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link w:val="684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link w:val="686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link w:val="68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link w:val="690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link w:val="673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link w:val="675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link w:val="677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link w:val="679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link w:val="68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link w:val="68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link w:val="68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link w:val="68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link w:val="68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link w:val="692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link w:val="694"/>
    <w:uiPriority w:val="11"/>
    <w:qFormat/>
    <w:rPr>
      <w:sz w:val="24"/>
      <w:szCs w:val="24"/>
    </w:rPr>
  </w:style>
  <w:style w:type="character" w:styleId="QuoteChar">
    <w:name w:val="Quote Char"/>
    <w:link w:val="696"/>
    <w:uiPriority w:val="29"/>
    <w:qFormat/>
    <w:rPr>
      <w:i/>
    </w:rPr>
  </w:style>
  <w:style w:type="character" w:styleId="IntenseQuoteChar">
    <w:name w:val="Intense Quote Char"/>
    <w:link w:val="698"/>
    <w:uiPriority w:val="30"/>
    <w:qFormat/>
    <w:rPr>
      <w:i/>
    </w:rPr>
  </w:style>
  <w:style w:type="character" w:styleId="HeaderChar">
    <w:name w:val="Header Char"/>
    <w:basedOn w:val="DefaultParagraphFont"/>
    <w:link w:val="700"/>
    <w:uiPriority w:val="99"/>
    <w:qFormat/>
    <w:rPr/>
  </w:style>
  <w:style w:type="character" w:styleId="FooterChar">
    <w:name w:val="Footer Char"/>
    <w:basedOn w:val="DefaultParagraphFont"/>
    <w:link w:val="702"/>
    <w:uiPriority w:val="99"/>
    <w:qFormat/>
    <w:rPr/>
  </w:style>
  <w:style w:type="character" w:styleId="CaptionChar">
    <w:name w:val="Caption Char"/>
    <w:link w:val="702"/>
    <w:uiPriority w:val="99"/>
    <w:qFormat/>
    <w:rPr/>
  </w:style>
  <w:style w:type="character" w:styleId="Style5">
    <w:name w:val="Интернет-ссылка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link w:val="863"/>
    <w:uiPriority w:val="99"/>
    <w:qFormat/>
    <w:rPr>
      <w:sz w:val="18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link w:val="833"/>
    <w:uiPriority w:val="99"/>
    <w:qFormat/>
    <w:rPr>
      <w:sz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9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Style10">
    <w:name w:val="Символ сноски"/>
    <w:qFormat/>
    <w:rPr/>
  </w:style>
  <w:style w:type="character" w:styleId="Style11">
    <w:name w:val="Символ концевой сноски"/>
    <w:qFormat/>
    <w:rPr/>
  </w:style>
  <w:style w:type="character" w:styleId="Style12">
    <w:name w:val="Знак сноски"/>
    <w:qFormat/>
    <w:rPr>
      <w:vertAlign w:val="superscript"/>
    </w:rPr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Arial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Style19">
    <w:name w:val="Title"/>
    <w:basedOn w:val="Normal"/>
    <w:link w:val="69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0">
    <w:name w:val="Subtitle"/>
    <w:basedOn w:val="Normal"/>
    <w:link w:val="69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link w:val="697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link w:val="69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701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704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4">
    <w:name w:val="Endnote Text"/>
    <w:basedOn w:val="Normal"/>
    <w:link w:val="834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Arial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Style25">
    <w:name w:val="Footnote Text"/>
    <w:basedOn w:val="Normal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69E10-1FF8-461E-AFC3-2ACE45B6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LibreOffice/6.4.7.2$Linux_X86_64 LibreOffice_project/40$Build-2</Application>
  <Pages>2</Pages>
  <Words>445</Words>
  <Characters>3247</Characters>
  <CharactersWithSpaces>3655</CharactersWithSpaces>
  <Paragraphs>42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2020-01-16T08:54:00Z</dcterms:created>
  <dc:creator>Тимур</dc:creator>
  <dc:description/>
  <dc:language>ru-RU</dc:language>
  <cp:lastModifiedBy/>
  <cp:lastPrinted>2026-07-03T16:18:53Z</cp:lastPrinted>
  <dcterms:modified xsi:type="dcterms:W3CDTF">2026-07-03T16:21:26Z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