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word/_rels/document.xml.rels" ContentType="application/vnd.openxmlformats-package.relationships+xml"/>
  <Override PartName="/word/settings.xml" ContentType="application/vnd.openxmlformats-officedocument.wordprocessingml.settings+xml"/>
  <Override PartName="/word/document.xml" ContentType="application/vnd.openxmlformats-officedocument.wordprocessingml.document.main+xml"/>
  <Override PartName="/word/theme/theme1.xml" ContentType="application/vnd.openxmlformats-officedocument.theme+xml"/>
  <Override PartName="/word/styles.xml" ContentType="application/vnd.openxmlformats-officedocument.wordprocessingml.styles+xml"/>
  <Override PartName="/word/footnotes.xml" ContentType="application/vnd.openxmlformats-officedocument.wordprocessingml.footnotes+xml"/>
  <Override PartName="/word/fontTable.xml" ContentType="application/vnd.openxmlformats-officedocument.wordprocessingml.fontTable+xml"/>
  <Override PartName="/customXml/_rels/item1.xml.rels" ContentType="application/vnd.openxmlformats-package.relationships+xml"/>
  <Override PartName="/customXml/itemProps1.xml" ContentType="application/vnd.openxmlformats-officedocument.customXmlProperties+xml"/>
  <Override PartName="/customXml/item1.xml" ContentType="application/xml"/>
  <Override PartName="/docProps/custom.xml" ContentType="application/vnd.openxmlformats-officedocument.custom-properties+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spacing w:before="0" w:after="0"/>
        <w:jc w:val="center"/>
        <w:rPr>
          <w:b/>
          <w:b/>
          <w:bCs/>
        </w:rPr>
      </w:pPr>
      <w:r>
        <w:rPr>
          <w:rFonts w:cs="Times New Roman"/>
          <w:b/>
          <w:bCs/>
          <w:sz w:val="28"/>
          <w:szCs w:val="28"/>
        </w:rPr>
        <w:t xml:space="preserve">Федеральный государственный контроль (надзор) за обеспечением безопасности объектов топливно-энергетического комплекса </w:t>
      </w:r>
    </w:p>
    <w:p>
      <w:pPr>
        <w:pStyle w:val="Normal"/>
        <w:spacing w:before="0" w:after="0"/>
        <w:jc w:val="center"/>
        <w:rPr>
          <w:b/>
          <w:b/>
          <w:bCs/>
        </w:rPr>
      </w:pPr>
      <w:r>
        <w:rPr>
          <w:rFonts w:cs="Times New Roman"/>
          <w:b/>
          <w:bCs/>
          <w:sz w:val="28"/>
          <w:szCs w:val="28"/>
        </w:rPr>
        <w:t>за 1 полугодие 2020 года</w:t>
      </w:r>
    </w:p>
    <w:p>
      <w:pPr>
        <w:pStyle w:val="2"/>
        <w:tabs>
          <w:tab w:val="clear" w:pos="327"/>
          <w:tab w:val="left" w:pos="1576" w:leader="none"/>
          <w:tab w:val="left" w:pos="3386" w:leader="none"/>
          <w:tab w:val="left" w:pos="5200" w:leader="none"/>
          <w:tab w:val="left" w:pos="7086" w:leader="none"/>
        </w:tabs>
        <w:spacing w:lineRule="exact" w:line="312" w:before="0" w:after="0"/>
        <w:ind w:firstLine="760"/>
        <w:jc w:val="both"/>
        <w:rPr>
          <w:rFonts w:ascii="Times New Roman" w:hAnsi="Times New Roman" w:cs="Times New Roman"/>
        </w:rPr>
      </w:pPr>
      <w:r>
        <w:rPr>
          <w:rFonts w:cs="Times New Roman"/>
        </w:rPr>
      </w:r>
    </w:p>
    <w:p>
      <w:pPr>
        <w:pStyle w:val="Normal"/>
        <w:spacing w:before="0" w:after="0"/>
        <w:ind w:firstLine="709"/>
        <w:jc w:val="both"/>
        <w:rPr/>
      </w:pPr>
      <w:r>
        <w:rPr>
          <w:rFonts w:cs="Times New Roman"/>
          <w:sz w:val="28"/>
          <w:szCs w:val="28"/>
        </w:rPr>
        <w:t>Плановые мероприятия по контролю за обеспечением безопасности объектов ТЭК осуществлялись сотрудниками отделения государственного контроля Управления Росгвардии по Республике Марий Эл на основании Сводного Плана проведения территориальными органами Федеральной службы войск национальной гвардии Российской Федерации плановых проверок объектов топливно-энергетического комплекса на 2020 год, Плана проведения Управлением Росгвардии по Республике Марий Эл плановых проверок объектов топливно-энергетического комплекса на 2020 год, разработанного в соответствии с постановлением Правительства Российской Федерации от 20 октября 2016 года № 1067 «Об утверждении Правил осуществления Федеральной службой войск национальной гвардии Российской Федерации и её территориальными органами федерального государственного контроля (надзора) за обеспечением безопасности объектов топливно-энергетического комплекса».</w:t>
      </w:r>
    </w:p>
    <w:p>
      <w:pPr>
        <w:pStyle w:val="Normal"/>
        <w:spacing w:before="0" w:after="0"/>
        <w:ind w:firstLine="709"/>
        <w:jc w:val="both"/>
        <w:rPr/>
      </w:pPr>
      <w:r>
        <w:rPr>
          <w:rFonts w:cs="Times New Roman"/>
          <w:sz w:val="28"/>
          <w:szCs w:val="28"/>
        </w:rPr>
        <w:t>На территории Республики Марий Эл функционируют 35 объектов топливно-энергетического комплекса имеющих категорию опасности, из них:     1 - средней категории, 34 - низкой категории (объекты высокой категории отсутствуют).</w:t>
      </w:r>
    </w:p>
    <w:p>
      <w:pPr>
        <w:pStyle w:val="Normal"/>
        <w:spacing w:before="0" w:after="0"/>
        <w:ind w:firstLine="708"/>
        <w:jc w:val="both"/>
        <w:rPr/>
      </w:pPr>
      <w:r>
        <w:rPr>
          <w:rFonts w:cs="Times New Roman"/>
          <w:spacing w:val="2"/>
          <w:sz w:val="28"/>
          <w:szCs w:val="28"/>
        </w:rPr>
        <w:t>За 1 полугодие 2020 года сотрудниками отделения государственного конт</w:t>
      </w:r>
      <w:r>
        <w:rPr>
          <w:rFonts w:eastAsia="Tahoma" w:cs="Times New Roman"/>
          <w:color w:val="auto"/>
          <w:spacing w:val="2"/>
          <w:kern w:val="2"/>
          <w:sz w:val="28"/>
          <w:szCs w:val="28"/>
          <w:lang w:val="ru-RU" w:eastAsia="zh-CN" w:bidi="hi-IN"/>
        </w:rPr>
        <w:t xml:space="preserve">роля Управления Росгвардии по Республике Марий Эл </w:t>
      </w:r>
      <w:r>
        <w:rPr>
          <w:rFonts w:eastAsia="Tahoma" w:cs="Times New Roman"/>
          <w:i w:val="false"/>
          <w:iCs w:val="false"/>
          <w:color w:val="auto"/>
          <w:spacing w:val="2"/>
          <w:kern w:val="2"/>
          <w:sz w:val="28"/>
          <w:szCs w:val="28"/>
          <w:lang w:val="ru-RU" w:eastAsia="zh-CN" w:bidi="hi-IN"/>
        </w:rPr>
        <w:t>проведена плановая проверка объекта ТЭК — Газонаполнительная станция база хранения сжиженного газа ООО «Газпром сжиженный газ». Нарушений не выявлено.</w:t>
      </w:r>
    </w:p>
    <w:p>
      <w:pPr>
        <w:pStyle w:val="Standard"/>
        <w:spacing w:lineRule="auto" w:line="276" w:before="0" w:after="0"/>
        <w:ind w:left="0" w:right="0" w:firstLine="709"/>
        <w:jc w:val="both"/>
        <w:rPr/>
      </w:pPr>
      <w:r>
        <w:rPr>
          <w:rFonts w:eastAsia="Tahoma" w:cs="Times New Roman" w:ascii="Times New Roman" w:hAnsi="Times New Roman"/>
          <w:color w:val="auto"/>
          <w:spacing w:val="2"/>
          <w:kern w:val="2"/>
          <w:sz w:val="28"/>
          <w:szCs w:val="28"/>
          <w:lang w:val="ru-RU" w:eastAsia="zh-CN" w:bidi="hi-IN"/>
        </w:rPr>
        <w:t>В силу положений пунктов 2 и 3 Постановления Правительства №438-2020г. по согласованию с Антитеррористической комиссией Республики Марий Эл из Плана проведения Управлением Федеральной службы войск национальной гвардии Российской Федерации по Республике Марий Эл плановых проверок объектов топливно-энергетического комплекса на 2020 год</w:t>
      </w:r>
      <w:r>
        <w:rPr>
          <w:rStyle w:val="Style15"/>
          <w:rStyle w:val="Style15"/>
          <w:rFonts w:eastAsia="Tahoma" w:cs="Times New Roman" w:ascii="Times New Roman" w:hAnsi="Times New Roman"/>
          <w:color w:val="auto"/>
          <w:spacing w:val="2"/>
          <w:kern w:val="2"/>
          <w:sz w:val="28"/>
          <w:szCs w:val="28"/>
          <w:lang w:val="ru-RU" w:eastAsia="zh-CN" w:bidi="hi-IN"/>
        </w:rPr>
        <w:footnoteReference w:id="2"/>
      </w:r>
      <w:r>
        <w:rPr>
          <w:rFonts w:eastAsia="Tahoma" w:cs="Times New Roman" w:ascii="Times New Roman" w:hAnsi="Times New Roman"/>
          <w:color w:val="auto"/>
          <w:spacing w:val="2"/>
          <w:kern w:val="2"/>
          <w:sz w:val="28"/>
          <w:szCs w:val="28"/>
          <w:lang w:val="ru-RU" w:eastAsia="zh-CN" w:bidi="hi-IN"/>
        </w:rPr>
        <w:t xml:space="preserve"> исключены проверки 7-ми объектов ТЭК (пункты Плана № 2-8):</w:t>
      </w:r>
    </w:p>
    <w:p>
      <w:pPr>
        <w:pStyle w:val="Standard"/>
        <w:spacing w:lineRule="auto" w:line="276" w:before="0" w:after="0"/>
        <w:ind w:left="0" w:right="0" w:firstLine="709"/>
        <w:jc w:val="both"/>
        <w:rPr/>
      </w:pPr>
      <w:r>
        <w:rPr>
          <w:rFonts w:eastAsia="Tahoma" w:cs="Times New Roman" w:ascii="Times New Roman" w:hAnsi="Times New Roman"/>
          <w:color w:val="auto"/>
          <w:spacing w:val="2"/>
          <w:kern w:val="2"/>
          <w:sz w:val="28"/>
          <w:szCs w:val="28"/>
          <w:lang w:val="ru-RU" w:eastAsia="zh-CN" w:bidi="hi-IN"/>
        </w:rPr>
        <w:t>1. Газораспределительная станция «Козьмодемьянск» (низкая категория опасности);</w:t>
      </w:r>
    </w:p>
    <w:p>
      <w:pPr>
        <w:pStyle w:val="Standard"/>
        <w:spacing w:lineRule="auto" w:line="276" w:before="0" w:after="0"/>
        <w:ind w:left="0" w:right="0" w:firstLine="709"/>
        <w:jc w:val="both"/>
        <w:rPr/>
      </w:pPr>
      <w:r>
        <w:rPr>
          <w:rFonts w:eastAsia="Tahoma" w:cs="Times New Roman" w:ascii="Times New Roman" w:hAnsi="Times New Roman"/>
          <w:color w:val="auto"/>
          <w:spacing w:val="2"/>
          <w:kern w:val="2"/>
          <w:sz w:val="28"/>
          <w:szCs w:val="28"/>
          <w:lang w:val="ru-RU" w:eastAsia="zh-CN" w:bidi="hi-IN"/>
        </w:rPr>
        <w:t>2. Газораспределительная станция «Виловатово» (низкая категория опасности);</w:t>
      </w:r>
    </w:p>
    <w:p>
      <w:pPr>
        <w:pStyle w:val="Standard"/>
        <w:spacing w:lineRule="auto" w:line="276" w:before="0" w:after="0"/>
        <w:ind w:left="0" w:right="0" w:firstLine="709"/>
        <w:jc w:val="both"/>
        <w:rPr/>
      </w:pPr>
      <w:r>
        <w:rPr>
          <w:rFonts w:eastAsia="Tahoma" w:cs="Times New Roman" w:ascii="Times New Roman" w:hAnsi="Times New Roman"/>
          <w:color w:val="auto"/>
          <w:spacing w:val="2"/>
          <w:kern w:val="2"/>
          <w:sz w:val="28"/>
          <w:szCs w:val="28"/>
          <w:lang w:val="ru-RU" w:eastAsia="zh-CN" w:bidi="hi-IN"/>
        </w:rPr>
        <w:t>3. Отопительная котельная № 0304 «Микрорайон Машиностроитель» (низкая категория опасности);</w:t>
      </w:r>
    </w:p>
    <w:p>
      <w:pPr>
        <w:pStyle w:val="Standard"/>
        <w:spacing w:lineRule="auto" w:line="276" w:before="0" w:after="0"/>
        <w:ind w:left="0" w:right="0" w:firstLine="709"/>
        <w:jc w:val="both"/>
        <w:rPr/>
      </w:pPr>
      <w:r>
        <w:rPr>
          <w:rFonts w:eastAsia="Tahoma" w:cs="Times New Roman" w:ascii="Times New Roman" w:hAnsi="Times New Roman"/>
          <w:color w:val="auto"/>
          <w:spacing w:val="2"/>
          <w:kern w:val="2"/>
          <w:sz w:val="28"/>
          <w:szCs w:val="28"/>
          <w:lang w:val="ru-RU" w:eastAsia="zh-CN" w:bidi="hi-IN"/>
        </w:rPr>
        <w:t>4. Отопительная котельная № 0306 «Микрорайон Северо-Западный» (низкая категория опасности);</w:t>
      </w:r>
    </w:p>
    <w:p>
      <w:pPr>
        <w:pStyle w:val="Standard"/>
        <w:spacing w:lineRule="auto" w:line="276" w:before="0" w:after="0"/>
        <w:ind w:left="0" w:right="0" w:firstLine="709"/>
        <w:jc w:val="both"/>
        <w:rPr/>
      </w:pPr>
      <w:r>
        <w:rPr>
          <w:rFonts w:eastAsia="Tahoma" w:cs="Times New Roman" w:ascii="Times New Roman" w:hAnsi="Times New Roman"/>
          <w:color w:val="auto"/>
          <w:spacing w:val="2"/>
          <w:kern w:val="2"/>
          <w:sz w:val="28"/>
          <w:szCs w:val="28"/>
          <w:lang w:val="ru-RU" w:eastAsia="zh-CN" w:bidi="hi-IN"/>
        </w:rPr>
        <w:t>5. ПС 220 кВ «Волжская» (низкая категория опасности);</w:t>
      </w:r>
    </w:p>
    <w:p>
      <w:pPr>
        <w:pStyle w:val="Standard"/>
        <w:spacing w:lineRule="auto" w:line="276" w:before="0" w:after="0"/>
        <w:ind w:left="0" w:right="0" w:firstLine="709"/>
        <w:jc w:val="both"/>
        <w:rPr/>
      </w:pPr>
      <w:r>
        <w:rPr>
          <w:rFonts w:eastAsia="Tahoma" w:cs="Times New Roman" w:ascii="Times New Roman" w:hAnsi="Times New Roman"/>
          <w:color w:val="auto"/>
          <w:spacing w:val="2"/>
          <w:kern w:val="2"/>
          <w:sz w:val="28"/>
          <w:szCs w:val="28"/>
          <w:lang w:val="ru-RU" w:eastAsia="zh-CN" w:bidi="hi-IN"/>
        </w:rPr>
        <w:t>6. ПС 220 кВ «Чигашево» (низкая категория опасности);</w:t>
      </w:r>
    </w:p>
    <w:p>
      <w:pPr>
        <w:pStyle w:val="Standard"/>
        <w:spacing w:lineRule="auto" w:line="276" w:before="0" w:after="0"/>
        <w:ind w:left="0" w:right="0" w:firstLine="709"/>
        <w:jc w:val="both"/>
        <w:rPr/>
      </w:pPr>
      <w:r>
        <w:rPr>
          <w:rFonts w:eastAsia="Tahoma" w:cs="Times New Roman" w:ascii="Times New Roman" w:hAnsi="Times New Roman"/>
          <w:color w:val="auto"/>
          <w:spacing w:val="2"/>
          <w:kern w:val="2"/>
          <w:sz w:val="28"/>
          <w:szCs w:val="28"/>
          <w:lang w:val="ru-RU" w:eastAsia="zh-CN" w:bidi="hi-IN"/>
        </w:rPr>
        <w:t>7. Марийский нефтеперерабатывающий завод (средняя категория опасности).</w:t>
      </w:r>
    </w:p>
    <w:p>
      <w:pPr>
        <w:pStyle w:val="Standard"/>
        <w:spacing w:before="0" w:after="0"/>
        <w:ind w:firstLine="709"/>
        <w:rPr>
          <w:rFonts w:ascii="Times New Roman" w:hAnsi="Times New Roman" w:eastAsia="Times New Roman" w:cs="Times New Roman"/>
          <w:sz w:val="28"/>
          <w:szCs w:val="28"/>
        </w:rPr>
      </w:pPr>
      <w:r>
        <w:rPr>
          <w:rFonts w:eastAsia="Times New Roman" w:cs="Times New Roman" w:ascii="Times New Roman" w:hAnsi="Times New Roman"/>
          <w:sz w:val="28"/>
          <w:szCs w:val="28"/>
        </w:rPr>
      </w:r>
    </w:p>
    <w:p>
      <w:pPr>
        <w:pStyle w:val="Normal"/>
        <w:pBdr>
          <w:top w:val="single" w:sz="4" w:space="0" w:color="FFFFFF"/>
          <w:left w:val="single" w:sz="4" w:space="0" w:color="FFFFFF"/>
          <w:bottom w:val="single" w:sz="4" w:space="26" w:color="FFFFFF"/>
          <w:right w:val="single" w:sz="4" w:space="6" w:color="FFFFFF"/>
        </w:pBdr>
        <w:tabs>
          <w:tab w:val="clear" w:pos="327"/>
          <w:tab w:val="left" w:pos="1134" w:leader="none"/>
        </w:tabs>
        <w:spacing w:lineRule="auto" w:line="240" w:before="0" w:after="0"/>
        <w:ind w:left="0" w:right="0" w:firstLine="850"/>
        <w:jc w:val="both"/>
        <w:rPr/>
      </w:pPr>
      <w:bookmarkStart w:id="0" w:name="__DdeLink__1769_1106327854"/>
      <w:r>
        <w:rPr>
          <w:rFonts w:eastAsia="Times New Roman" w:cs="Times New Roman"/>
          <w:b w:val="false"/>
          <w:bCs w:val="false"/>
          <w:color w:val="000000"/>
          <w:kern w:val="0"/>
          <w:sz w:val="28"/>
          <w:szCs w:val="28"/>
          <w:lang w:val="ru-RU" w:eastAsia="ru-RU" w:bidi="ar-SA"/>
        </w:rPr>
        <w:t xml:space="preserve">На постоянной основе проводится работа по профилактике нарушений в соответствии с </w:t>
      </w:r>
      <w:r>
        <w:rPr>
          <w:rFonts w:eastAsia="Times New Roman" w:cs="Times New Roman"/>
          <w:b w:val="false"/>
          <w:bCs w:val="false"/>
          <w:color w:val="auto"/>
          <w:kern w:val="0"/>
          <w:sz w:val="26"/>
          <w:szCs w:val="26"/>
          <w:lang w:val="ru-RU" w:eastAsia="ru-RU" w:bidi="ar-SA"/>
        </w:rPr>
        <w:t>Программой профилактики нарушений обязательных требований, соблюдение которых оценивается федеральной службой войск национальной гвардии Российской федерации при осуществлении федерального государственного контроля в установленных сферах деятельности</w:t>
      </w:r>
      <w:r>
        <w:rPr>
          <w:rFonts w:eastAsia="Times New Roman" w:cs="Times New Roman"/>
          <w:b w:val="false"/>
          <w:bCs w:val="false"/>
          <w:color w:val="000000"/>
          <w:kern w:val="0"/>
          <w:sz w:val="28"/>
          <w:szCs w:val="28"/>
          <w:lang w:val="ru-RU" w:eastAsia="ru-RU" w:bidi="ar-SA"/>
        </w:rPr>
        <w:t>.</w:t>
      </w:r>
      <w:bookmarkEnd w:id="0"/>
    </w:p>
    <w:p>
      <w:pPr>
        <w:pStyle w:val="Normal"/>
        <w:pBdr>
          <w:top w:val="single" w:sz="4" w:space="0" w:color="FFFFFF"/>
          <w:left w:val="single" w:sz="4" w:space="0" w:color="FFFFFF"/>
          <w:bottom w:val="single" w:sz="4" w:space="26" w:color="FFFFFF"/>
          <w:right w:val="single" w:sz="4" w:space="6" w:color="FFFFFF"/>
        </w:pBdr>
        <w:tabs>
          <w:tab w:val="clear" w:pos="327"/>
          <w:tab w:val="left" w:pos="1134" w:leader="none"/>
        </w:tabs>
        <w:spacing w:lineRule="auto" w:line="240" w:before="0" w:after="0"/>
        <w:ind w:left="0" w:right="0" w:firstLine="850"/>
        <w:jc w:val="both"/>
        <w:rPr>
          <w:rFonts w:eastAsia="Times New Roman" w:cs="Times New Roman"/>
          <w:b w:val="false"/>
          <w:b w:val="false"/>
          <w:bCs w:val="false"/>
          <w:color w:val="000000"/>
          <w:kern w:val="0"/>
          <w:lang w:val="ru-RU" w:eastAsia="ru-RU" w:bidi="ar-SA"/>
        </w:rPr>
      </w:pPr>
      <w:r>
        <w:rPr>
          <w:rFonts w:eastAsia="Times New Roman" w:cs="Times New Roman"/>
          <w:b w:val="false"/>
          <w:bCs w:val="false"/>
          <w:color w:val="000000"/>
          <w:kern w:val="0"/>
          <w:lang w:val="ru-RU" w:eastAsia="ru-RU" w:bidi="ar-SA"/>
        </w:rPr>
      </w:r>
    </w:p>
    <w:p>
      <w:pPr>
        <w:pStyle w:val="Normal"/>
        <w:pBdr>
          <w:top w:val="single" w:sz="4" w:space="0" w:color="FFFFFF"/>
          <w:left w:val="single" w:sz="4" w:space="0" w:color="FFFFFF"/>
          <w:bottom w:val="single" w:sz="4" w:space="26" w:color="FFFFFF"/>
          <w:right w:val="single" w:sz="4" w:space="6" w:color="FFFFFF"/>
        </w:pBdr>
        <w:tabs>
          <w:tab w:val="clear" w:pos="327"/>
          <w:tab w:val="left" w:pos="1134" w:leader="none"/>
        </w:tabs>
        <w:spacing w:lineRule="auto" w:line="240" w:before="0" w:after="0"/>
        <w:ind w:left="0" w:right="0" w:firstLine="850"/>
        <w:jc w:val="both"/>
        <w:rPr/>
      </w:pPr>
      <w:r>
        <w:rPr>
          <w:rFonts w:eastAsia="Times New Roman" w:cs="Times New Roman"/>
          <w:b/>
          <w:color w:val="000000"/>
          <w:sz w:val="26"/>
          <w:szCs w:val="26"/>
          <w:lang w:eastAsia="ru-RU"/>
        </w:rPr>
        <w:t>ОГК Управления Росгвардии по Республике Марий Эл.</w:t>
      </w:r>
    </w:p>
    <w:p>
      <w:pPr>
        <w:pStyle w:val="2"/>
        <w:spacing w:lineRule="exact" w:line="312" w:before="0" w:after="0"/>
        <w:ind w:firstLine="740"/>
        <w:jc w:val="both"/>
        <w:rPr>
          <w:rFonts w:ascii="Times New Roman" w:hAnsi="Times New Roman" w:cs="Times New Roman"/>
        </w:rPr>
      </w:pPr>
      <w:r>
        <w:rPr>
          <w:rFonts w:cs="Times New Roman"/>
        </w:rPr>
      </w:r>
    </w:p>
    <w:p>
      <w:pPr>
        <w:pStyle w:val="2"/>
        <w:spacing w:lineRule="exact" w:line="312" w:before="0" w:after="0"/>
        <w:ind w:firstLine="740"/>
        <w:jc w:val="both"/>
        <w:rPr>
          <w:rFonts w:ascii="Times New Roman" w:hAnsi="Times New Roman" w:cs="Times New Roman"/>
        </w:rPr>
      </w:pPr>
      <w:r>
        <w:rPr>
          <w:rFonts w:cs="Times New Roman"/>
        </w:rPr>
      </w:r>
    </w:p>
    <w:p>
      <w:pPr>
        <w:pStyle w:val="2"/>
        <w:spacing w:lineRule="exact" w:line="312" w:before="0" w:after="0"/>
        <w:ind w:firstLine="740"/>
        <w:jc w:val="right"/>
        <w:rPr/>
      </w:pPr>
      <w:r>
        <w:rPr/>
      </w:r>
    </w:p>
    <w:sectPr>
      <w:footnotePr>
        <w:numFmt w:val="decimal"/>
      </w:footnotePr>
      <w:type w:val="nextPage"/>
      <w:pgSz w:w="11906" w:h="16838"/>
      <w:pgMar w:left="1701" w:right="850" w:header="0" w:top="1134" w:footer="0" w:bottom="1134" w:gutter="0"/>
      <w:pgNumType w:fmt="decimal"/>
      <w:formProt w:val="false"/>
      <w:textDirection w:val="lrTb"/>
      <w:docGrid w:type="default" w:linePitch="381"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Times New Roman">
    <w:charset w:val="01"/>
    <w:family w:val="roman"/>
    <w:pitch w:val="default"/>
  </w:font>
  <w:font w:name="Segoe UI">
    <w:charset w:val="01"/>
    <w:family w:val="roman"/>
    <w:pitch w:val="default"/>
  </w:font>
  <w:font w:name="Liberation Sans">
    <w:altName w:val="Arial"/>
    <w:charset w:val="01"/>
    <w:family w:val="roman"/>
    <w:pitch w:val="default"/>
  </w:font>
  <w:font w:name="Liberation Serif">
    <w:altName w:val="Times New Roman"/>
    <w:charset w:val="01"/>
    <w:family w:val="roman"/>
    <w:pitch w:val="default"/>
  </w:font>
</w:fonts>
</file>

<file path=word/footnotes.xml><?xml version="1.0" encoding="utf-8"?>
<w:footnote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footnote w:id="0" w:type="separator">
    <w:p>
      <w:r>
        <w:separator/>
      </w:r>
    </w:p>
  </w:footnote>
  <w:footnote w:id="1" w:type="continuationSeparator">
    <w:p>
      <w:r>
        <w:continuationSeparator/>
      </w:r>
    </w:p>
  </w:footnote>
  <w:footnote w:id="2">
    <w:p>
      <w:pPr>
        <w:pStyle w:val="Style25"/>
        <w:rPr/>
      </w:pPr>
      <w:r>
        <w:rPr>
          <w:rStyle w:val="Style17"/>
        </w:rPr>
        <w:footnoteRef/>
      </w:r>
      <w:r>
        <w:rPr/>
        <w:tab/>
        <w:t xml:space="preserve"> Далее – План.</w:t>
      </w:r>
    </w:p>
  </w:footnote>
</w:footnotes>
</file>

<file path=word/settings.xml><?xml version="1.0" encoding="utf-8"?>
<w:settings xmlns:w="http://schemas.openxmlformats.org/wordprocessingml/2006/main">
  <w:zoom w:percent="85"/>
  <w:defaultTabStop w:val="327"/>
  <w:footnotePr>
    <w:numFmt w:val="decimal"/>
    <w:footnote w:id="0"/>
    <w:footnote w:id="1"/>
  </w:footnotePr>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Calibri" w:cs="" w:cstheme="minorBidi" w:eastAsiaTheme="minorHAnsi"/>
        <w:szCs w:val="22"/>
        <w:lang w:val="ru-RU" w:eastAsia="en-US" w:bidi="ar-SA"/>
      </w:rPr>
    </w:rPrDefault>
    <w:pPrDefault>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pPr>
      <w:widowControl/>
      <w:bidi w:val="0"/>
      <w:spacing w:lineRule="auto" w:line="259" w:before="0" w:after="160"/>
      <w:jc w:val="left"/>
    </w:pPr>
    <w:rPr>
      <w:rFonts w:ascii="Times New Roman" w:hAnsi="Times New Roman" w:eastAsia="Calibri" w:cs="" w:cstheme="minorBidi" w:eastAsiaTheme="minorHAnsi"/>
      <w:color w:val="auto"/>
      <w:kern w:val="0"/>
      <w:sz w:val="28"/>
      <w:szCs w:val="22"/>
      <w:lang w:val="ru-RU" w:eastAsia="en-US" w:bidi="ar-SA"/>
    </w:rPr>
  </w:style>
  <w:style w:type="character" w:styleId="DefaultParagraphFont" w:default="1">
    <w:name w:val="Default Paragraph Font"/>
    <w:uiPriority w:val="1"/>
    <w:semiHidden/>
    <w:unhideWhenUsed/>
    <w:qFormat/>
    <w:rPr/>
  </w:style>
  <w:style w:type="character" w:styleId="Style14" w:customStyle="1">
    <w:name w:val="Текст сноски Знак"/>
    <w:basedOn w:val="DefaultParagraphFont"/>
    <w:link w:val="a5"/>
    <w:uiPriority w:val="99"/>
    <w:semiHidden/>
    <w:qFormat/>
    <w:rsid w:val="00fa17e3"/>
    <w:rPr>
      <w:sz w:val="20"/>
      <w:szCs w:val="20"/>
    </w:rPr>
  </w:style>
  <w:style w:type="character" w:styleId="Style15">
    <w:name w:val="Привязка сноски"/>
    <w:rPr>
      <w:vertAlign w:val="superscript"/>
    </w:rPr>
  </w:style>
  <w:style w:type="character" w:styleId="FootnoteCharacters">
    <w:name w:val="Footnote Characters"/>
    <w:basedOn w:val="DefaultParagraphFont"/>
    <w:uiPriority w:val="99"/>
    <w:semiHidden/>
    <w:unhideWhenUsed/>
    <w:qFormat/>
    <w:rsid w:val="00fa17e3"/>
    <w:rPr>
      <w:vertAlign w:val="superscript"/>
    </w:rPr>
  </w:style>
  <w:style w:type="character" w:styleId="Style16" w:customStyle="1">
    <w:name w:val="Текст выноски Знак"/>
    <w:basedOn w:val="DefaultParagraphFont"/>
    <w:link w:val="a8"/>
    <w:uiPriority w:val="99"/>
    <w:semiHidden/>
    <w:qFormat/>
    <w:rsid w:val="00880b8c"/>
    <w:rPr>
      <w:rFonts w:ascii="Segoe UI" w:hAnsi="Segoe UI" w:cs="Segoe UI"/>
      <w:sz w:val="18"/>
      <w:szCs w:val="18"/>
    </w:rPr>
  </w:style>
  <w:style w:type="character" w:styleId="Style17">
    <w:name w:val="Символ сноски"/>
    <w:qFormat/>
    <w:rPr/>
  </w:style>
  <w:style w:type="character" w:styleId="Style18">
    <w:name w:val="Привязка концевой сноски"/>
    <w:rPr>
      <w:vertAlign w:val="superscript"/>
    </w:rPr>
  </w:style>
  <w:style w:type="character" w:styleId="Style19">
    <w:name w:val="Символ концевой сноски"/>
    <w:qFormat/>
    <w:rPr/>
  </w:style>
  <w:style w:type="paragraph" w:styleId="Style20">
    <w:name w:val="Заголовок"/>
    <w:basedOn w:val="Normal"/>
    <w:next w:val="Style21"/>
    <w:qFormat/>
    <w:pPr>
      <w:keepNext w:val="true"/>
      <w:spacing w:before="240" w:after="120"/>
    </w:pPr>
    <w:rPr>
      <w:rFonts w:ascii="Liberation Sans" w:hAnsi="Liberation Sans" w:eastAsia="Tahoma" w:cs="Noto Sans Devanagari"/>
      <w:sz w:val="28"/>
      <w:szCs w:val="28"/>
    </w:rPr>
  </w:style>
  <w:style w:type="paragraph" w:styleId="Style21">
    <w:name w:val="Body Text"/>
    <w:basedOn w:val="Normal"/>
    <w:pPr>
      <w:spacing w:lineRule="auto" w:line="276" w:before="0" w:after="140"/>
    </w:pPr>
    <w:rPr/>
  </w:style>
  <w:style w:type="paragraph" w:styleId="Style22">
    <w:name w:val="List"/>
    <w:basedOn w:val="Style21"/>
    <w:pPr/>
    <w:rPr>
      <w:rFonts w:cs="Noto Sans Devanagari"/>
    </w:rPr>
  </w:style>
  <w:style w:type="paragraph" w:styleId="Style23">
    <w:name w:val="Caption"/>
    <w:basedOn w:val="Normal"/>
    <w:qFormat/>
    <w:pPr>
      <w:suppressLineNumbers/>
      <w:spacing w:before="120" w:after="120"/>
    </w:pPr>
    <w:rPr>
      <w:rFonts w:cs="Noto Sans Devanagari"/>
      <w:i/>
      <w:iCs/>
      <w:sz w:val="24"/>
      <w:szCs w:val="24"/>
    </w:rPr>
  </w:style>
  <w:style w:type="paragraph" w:styleId="Style24">
    <w:name w:val="Указатель"/>
    <w:basedOn w:val="Normal"/>
    <w:qFormat/>
    <w:pPr>
      <w:suppressLineNumbers/>
    </w:pPr>
    <w:rPr>
      <w:rFonts w:cs="Noto Sans Devanagari"/>
    </w:rPr>
  </w:style>
  <w:style w:type="paragraph" w:styleId="ListParagraph">
    <w:name w:val="List Paragraph"/>
    <w:basedOn w:val="Normal"/>
    <w:uiPriority w:val="34"/>
    <w:qFormat/>
    <w:rsid w:val="00e219a0"/>
    <w:pPr>
      <w:spacing w:before="0" w:after="160"/>
      <w:ind w:left="720" w:hanging="0"/>
      <w:contextualSpacing/>
    </w:pPr>
    <w:rPr/>
  </w:style>
  <w:style w:type="paragraph" w:styleId="Style25">
    <w:name w:val="Footnote Text"/>
    <w:basedOn w:val="Normal"/>
    <w:link w:val="a6"/>
    <w:uiPriority w:val="99"/>
    <w:semiHidden/>
    <w:unhideWhenUsed/>
    <w:rsid w:val="00fa17e3"/>
    <w:pPr>
      <w:spacing w:lineRule="auto" w:line="240" w:before="0" w:after="0"/>
    </w:pPr>
    <w:rPr>
      <w:sz w:val="20"/>
      <w:szCs w:val="20"/>
    </w:rPr>
  </w:style>
  <w:style w:type="paragraph" w:styleId="ConsPlusTitle" w:customStyle="1">
    <w:name w:val="ConsPlusTitle"/>
    <w:qFormat/>
    <w:rsid w:val="00fa17e3"/>
    <w:pPr>
      <w:widowControl w:val="false"/>
      <w:bidi w:val="0"/>
      <w:spacing w:lineRule="auto" w:line="240" w:before="0" w:after="0"/>
      <w:jc w:val="left"/>
    </w:pPr>
    <w:rPr>
      <w:rFonts w:ascii="Times New Roman" w:hAnsi="Times New Roman" w:eastAsia="Times New Roman" w:cs="Times New Roman"/>
      <w:b/>
      <w:color w:val="auto"/>
      <w:kern w:val="0"/>
      <w:sz w:val="28"/>
      <w:szCs w:val="20"/>
      <w:lang w:val="ru-RU" w:eastAsia="ru-RU" w:bidi="ar-SA"/>
    </w:rPr>
  </w:style>
  <w:style w:type="paragraph" w:styleId="BalloonText">
    <w:name w:val="Balloon Text"/>
    <w:basedOn w:val="Normal"/>
    <w:link w:val="a9"/>
    <w:uiPriority w:val="99"/>
    <w:semiHidden/>
    <w:unhideWhenUsed/>
    <w:qFormat/>
    <w:rsid w:val="00880b8c"/>
    <w:pPr>
      <w:spacing w:lineRule="auto" w:line="240" w:before="0" w:after="0"/>
    </w:pPr>
    <w:rPr>
      <w:rFonts w:ascii="Segoe UI" w:hAnsi="Segoe UI" w:cs="Segoe UI"/>
      <w:sz w:val="18"/>
      <w:szCs w:val="18"/>
    </w:rPr>
  </w:style>
  <w:style w:type="paragraph" w:styleId="Style26">
    <w:name w:val="Содержимое таблицы"/>
    <w:basedOn w:val="Normal"/>
    <w:qFormat/>
    <w:pPr>
      <w:suppressLineNumbers/>
    </w:pPr>
    <w:rPr/>
  </w:style>
  <w:style w:type="paragraph" w:styleId="Style27">
    <w:name w:val="Заголовок таблицы"/>
    <w:basedOn w:val="Style26"/>
    <w:qFormat/>
    <w:pPr>
      <w:suppressLineNumbers/>
      <w:jc w:val="center"/>
    </w:pPr>
    <w:rPr>
      <w:b/>
      <w:bCs/>
    </w:rPr>
  </w:style>
  <w:style w:type="paragraph" w:styleId="2">
    <w:name w:val="Основной текст (2)"/>
    <w:basedOn w:val="Normal"/>
    <w:qFormat/>
    <w:pPr>
      <w:widowControl w:val="false"/>
      <w:spacing w:lineRule="auto" w:line="240" w:before="300" w:after="420"/>
      <w:jc w:val="center"/>
    </w:pPr>
    <w:rPr>
      <w:sz w:val="28"/>
      <w:szCs w:val="28"/>
    </w:rPr>
  </w:style>
  <w:style w:type="paragraph" w:styleId="Standard">
    <w:name w:val="Standard"/>
    <w:qFormat/>
    <w:pPr>
      <w:widowControl/>
      <w:suppressAutoHyphens w:val="true"/>
      <w:bidi w:val="0"/>
      <w:jc w:val="left"/>
      <w:textAlignment w:val="baseline"/>
    </w:pPr>
    <w:rPr>
      <w:rFonts w:ascii="Liberation Serif;Times New Roman" w:hAnsi="Liberation Serif;Times New Roman" w:eastAsia="Tahoma" w:cs="Noto Sans Devanagari;Times New Roman"/>
      <w:color w:val="auto"/>
      <w:kern w:val="2"/>
      <w:sz w:val="24"/>
      <w:szCs w:val="24"/>
      <w:lang w:val="ru-RU" w:eastAsia="zh-CN" w:bidi="hi-IN"/>
    </w:rPr>
  </w:style>
  <w:style w:type="numbering" w:styleId="NoList" w:default="1">
    <w:name w:val="No List"/>
    <w:uiPriority w:val="99"/>
    <w:semiHidden/>
    <w:unhideWhenUsed/>
    <w:qFormat/>
  </w:style>
  <w:style w:type="table" w:default="1" w:styleId="a1">
    <w:name w:val="Normal Table"/>
    <w:uiPriority w:val="99"/>
    <w:semiHidden/>
    <w:unhideWhenUsed/>
    <w:tblPr>
      <w:tblInd w:w="0" w:type="dxa"/>
      <w:tblCellMar>
        <w:top w:w="0" w:type="dxa"/>
        <w:left w:w="108" w:type="dxa"/>
        <w:bottom w:w="0" w:type="dxa"/>
        <w:right w:w="108" w:type="dxa"/>
      </w:tblCellMar>
    </w:tblPr>
  </w:style>
  <w:style w:type="table" w:styleId="a3">
    <w:name w:val="Table Grid"/>
    <w:basedOn w:val="a1"/>
    <w:uiPriority w:val="39"/>
    <w:rsid w:val="00cf4ac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
    <w:name w:val="Сетка таблицы1"/>
    <w:basedOn w:val="a1"/>
    <w:uiPriority w:val="59"/>
    <w:rsid w:val="004f57b4"/>
    <w:pPr>
      <w:spacing w:after="0" w:line="240" w:lineRule="auto"/>
    </w:pPr>
    <w:rPr>
      <w:rFonts w:asciiTheme="minorHAnsi" w:hAnsiTheme="minorHAnsi"/>
      <w:sz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otnotes" Target="footnotes.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Relationship Id="rId6" Type="http://schemas.openxmlformats.org/officeDocument/2006/relationships/customXml" Target="../customXml/item1.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369E10-1FF8-461E-AFC3-2ACE45B6A2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TotalTime>
  <Application>LibreOffice/6.1.5.2$Linux_X86_64 LibreOffice_project/10$Build-2</Application>
  <Pages>2</Pages>
  <Words>324</Words>
  <Characters>2522</Characters>
  <CharactersWithSpaces>2839</CharactersWithSpaces>
  <Paragraphs>16</Paragraphs>
  <Company>Hewlett-Packard Company</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2020-01-16T08:54:00Z</dcterms:created>
  <dc:creator>Тимур</dc:creator>
  <dc:description/>
  <dc:language>ru-RU</dc:language>
  <cp:lastModifiedBy/>
  <cp:lastPrinted>2020-01-20T16:25:40Z</cp:lastPrinted>
  <dcterms:modified xsi:type="dcterms:W3CDTF">2020-07-10T09:28:07Z</dcterms:modified>
  <cp:revision>25</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Hewlett-Packard Company</vt:lpwstr>
  </property>
  <property fmtid="{D5CDD505-2E9C-101B-9397-08002B2CF9AE}" pid="4" name="DocSecurity">
    <vt:i4>0</vt:i4>
  </property>
  <property fmtid="{D5CDD505-2E9C-101B-9397-08002B2CF9AE}" pid="5" name="HyperlinksChanged">
    <vt:bool>0</vt:bool>
  </property>
  <property fmtid="{D5CDD505-2E9C-101B-9397-08002B2CF9AE}" pid="6" name="LinksUpToDate">
    <vt:bool>0</vt:bool>
  </property>
  <property fmtid="{D5CDD505-2E9C-101B-9397-08002B2CF9AE}" pid="7" name="ScaleCrop">
    <vt:bool>0</vt:bool>
  </property>
  <property fmtid="{D5CDD505-2E9C-101B-9397-08002B2CF9AE}" pid="8" name="ShareDoc">
    <vt:bool>0</vt:bool>
  </property>
</Properties>
</file>